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5A230" w14:textId="77777777" w:rsidR="00442DA7" w:rsidRPr="00442DA7" w:rsidRDefault="00442DA7" w:rsidP="00442DA7">
      <w:pPr>
        <w:rPr>
          <w:b/>
          <w:bCs/>
        </w:rPr>
      </w:pPr>
      <w:r w:rsidRPr="00442DA7">
        <w:rPr>
          <w:b/>
          <w:bCs/>
        </w:rPr>
        <w:t>Carta “Dedicata a te” 2024</w:t>
      </w:r>
    </w:p>
    <w:p w14:paraId="5EBBF2FD" w14:textId="1DBF345C" w:rsidR="00442DA7" w:rsidRPr="00442DA7" w:rsidRDefault="00442DA7" w:rsidP="007A2F15">
      <w:pPr>
        <w:jc w:val="both"/>
      </w:pPr>
      <w:r w:rsidRPr="00442DA7">
        <w:t xml:space="preserve">La carta “Dedicata a te” è una misura di sostegno rivolta ai nuclei familiari residenti nel Comune di </w:t>
      </w:r>
      <w:r w:rsidR="00287B1E">
        <w:t>San Cristoforo</w:t>
      </w:r>
      <w:r w:rsidRPr="00442DA7">
        <w:t xml:space="preserve"> in stato di bisogno, per l’acquisto di beni alimentari di prima necessità, carburanti o, in alternativa, abbonamenti ai servizi di trasporto pubblico locale, come stabilito dal Decreto interministeriale del 4 giugno 2024.</w:t>
      </w:r>
    </w:p>
    <w:p w14:paraId="7B481153" w14:textId="6BDEBFF4" w:rsidR="007A2F15" w:rsidRPr="007A2F15" w:rsidRDefault="007A2F15" w:rsidP="007A2F15">
      <w:r w:rsidRPr="007A2F15">
        <w:rPr>
          <w:noProof/>
        </w:rPr>
        <w:drawing>
          <wp:inline distT="0" distB="0" distL="0" distR="0" wp14:anchorId="0654B8F4" wp14:editId="7FB00410">
            <wp:extent cx="5458108" cy="3638550"/>
            <wp:effectExtent l="0" t="0" r="9525" b="0"/>
            <wp:docPr id="1116189197" name="Immagine 2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189197" name="Immagine 2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597" cy="364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40330" w14:textId="028CB5A7" w:rsidR="00442DA7" w:rsidRPr="00442DA7" w:rsidRDefault="00442DA7" w:rsidP="00442DA7"/>
    <w:p w14:paraId="442E7872" w14:textId="77777777" w:rsidR="00442DA7" w:rsidRPr="00442DA7" w:rsidRDefault="00442DA7" w:rsidP="00442DA7">
      <w:r w:rsidRPr="00442DA7">
        <w:rPr>
          <w:b/>
          <w:bCs/>
        </w:rPr>
        <w:t>Requisiti di accesso al beneficio</w:t>
      </w:r>
    </w:p>
    <w:p w14:paraId="45CF8228" w14:textId="77777777" w:rsidR="00442DA7" w:rsidRPr="00442DA7" w:rsidRDefault="00442DA7" w:rsidP="007A2F15">
      <w:pPr>
        <w:jc w:val="both"/>
      </w:pPr>
      <w:r w:rsidRPr="00442DA7">
        <w:t>I beneficiari del contributo, che non devono presentare domanda, sono i cittadini appartenenti a nuclei familiari residenti nel territorio italiano, in possesso dei seguenti requisiti alla data di pubblicazione del decreto interministeriale (24 giugno 2024):</w:t>
      </w:r>
    </w:p>
    <w:p w14:paraId="44C12314" w14:textId="77777777" w:rsidR="00442DA7" w:rsidRPr="00442DA7" w:rsidRDefault="00442DA7" w:rsidP="00442DA7">
      <w:pPr>
        <w:numPr>
          <w:ilvl w:val="0"/>
          <w:numId w:val="1"/>
        </w:numPr>
      </w:pPr>
      <w:r w:rsidRPr="00442DA7">
        <w:t>Iscrizione di tutti i componenti del nucleo familiare all’Anagrafe Comunale.</w:t>
      </w:r>
    </w:p>
    <w:p w14:paraId="406B9B58" w14:textId="77777777" w:rsidR="00442DA7" w:rsidRPr="00442DA7" w:rsidRDefault="00442DA7" w:rsidP="00E24709">
      <w:pPr>
        <w:numPr>
          <w:ilvl w:val="0"/>
          <w:numId w:val="1"/>
        </w:numPr>
        <w:jc w:val="both"/>
      </w:pPr>
      <w:r w:rsidRPr="00442DA7">
        <w:t>Possesso di un ISEE ordinario, di cui al decreto del Presidente del Consiglio dei Ministri del 5 dicembre 2013, n. 159, in corso di validità, con indicatore non superiore a 15.000,00 euro.</w:t>
      </w:r>
    </w:p>
    <w:p w14:paraId="7B335A14" w14:textId="77777777" w:rsidR="00442DA7" w:rsidRPr="00442DA7" w:rsidRDefault="00442DA7" w:rsidP="007A2F15">
      <w:pPr>
        <w:jc w:val="both"/>
      </w:pPr>
      <w:r w:rsidRPr="00442DA7">
        <w:t xml:space="preserve">Il contributo non è destinato ai nuclei familiari che, alla data di entrata in vigore del D.I. 4 giugno 2024, includono percettori di: Assegno di inclusione, Reddito di cittadinanza, Carta acquisti o qualsiasi altra misura di inclusione sociale o sostegno alla povertà che prevede l’erogazione di un sussidio economico di livello nazionale, regionale o locale. Inoltre, non spetta ai nuclei familiari nei quali almeno un componente risulti percettore di: Nuova assicurazione sociale per l’Impiego (NASPI), Indennità mensile di disoccupazione per i collaboratori (DIS-COLL), Indennità di mobilità, Fondi di solidarietà per l’integrazione del reddito, Cassa integrazione </w:t>
      </w:r>
      <w:r w:rsidRPr="00442DA7">
        <w:lastRenderedPageBreak/>
        <w:t>guadagni (CIG) o altre forme di integrazione salariale o sostegno in caso di disoccupazione involontaria, erogata dallo Stato.</w:t>
      </w:r>
    </w:p>
    <w:p w14:paraId="7C13ACAB" w14:textId="77777777" w:rsidR="00442DA7" w:rsidRPr="00442DA7" w:rsidRDefault="00442DA7" w:rsidP="00442DA7">
      <w:r w:rsidRPr="00442DA7">
        <w:rPr>
          <w:b/>
          <w:bCs/>
        </w:rPr>
        <w:t>Assegnazione delle carte “Dedicata a te”</w:t>
      </w:r>
    </w:p>
    <w:p w14:paraId="19D4229F" w14:textId="0CC197DE" w:rsidR="00442DA7" w:rsidRPr="00442DA7" w:rsidRDefault="00442DA7" w:rsidP="007A2F15">
      <w:pPr>
        <w:jc w:val="both"/>
      </w:pPr>
      <w:r w:rsidRPr="00442DA7">
        <w:t xml:space="preserve">Al Comune di </w:t>
      </w:r>
      <w:r w:rsidR="00287B1E">
        <w:t>San Cristoforo</w:t>
      </w:r>
      <w:r w:rsidRPr="00442DA7">
        <w:t xml:space="preserve"> sono state assegnate </w:t>
      </w:r>
      <w:r w:rsidR="00C5685C" w:rsidRPr="00F416E2">
        <w:rPr>
          <w:b/>
          <w:bCs/>
        </w:rPr>
        <w:t>6</w:t>
      </w:r>
      <w:r w:rsidRPr="00442DA7">
        <w:t xml:space="preserve"> carte “Dedicata a te”. L’INPS ha redatto una graduatoria dando priorità, in ordine decrescente, ai nuclei che soddisfano i seguenti criteri:</w:t>
      </w:r>
    </w:p>
    <w:p w14:paraId="7A40E308" w14:textId="77777777" w:rsidR="00442DA7" w:rsidRPr="00442DA7" w:rsidRDefault="00442DA7" w:rsidP="00442DA7">
      <w:pPr>
        <w:numPr>
          <w:ilvl w:val="0"/>
          <w:numId w:val="2"/>
        </w:numPr>
      </w:pPr>
      <w:r w:rsidRPr="00442DA7">
        <w:t>Nuclei familiari composti da almeno tre componenti di cui almeno uno nato entro il 31 dicembre 2010, con priorità ai nuclei con indicatore ISEE più basso;</w:t>
      </w:r>
    </w:p>
    <w:p w14:paraId="2652AFBB" w14:textId="77777777" w:rsidR="00442DA7" w:rsidRPr="00442DA7" w:rsidRDefault="00442DA7" w:rsidP="00442DA7">
      <w:pPr>
        <w:numPr>
          <w:ilvl w:val="0"/>
          <w:numId w:val="2"/>
        </w:numPr>
      </w:pPr>
      <w:r w:rsidRPr="00442DA7">
        <w:t>Nuclei familiari composti da almeno tre componenti di cui almeno uno nato entro il 31 dicembre 2006, con priorità ai nuclei con indicatore ISEE più basso;</w:t>
      </w:r>
    </w:p>
    <w:p w14:paraId="4D2C5C4B" w14:textId="77777777" w:rsidR="00442DA7" w:rsidRPr="00442DA7" w:rsidRDefault="00442DA7" w:rsidP="007A2F15">
      <w:pPr>
        <w:numPr>
          <w:ilvl w:val="0"/>
          <w:numId w:val="2"/>
        </w:numPr>
        <w:jc w:val="both"/>
      </w:pPr>
      <w:r w:rsidRPr="00442DA7">
        <w:t>Nuclei familiari composti da almeno tre componenti, con priorità ai nuclei con indicatore ISEE più basso (cfr. l’art. 4 del D.I.).</w:t>
      </w:r>
    </w:p>
    <w:p w14:paraId="39DD8E66" w14:textId="77777777" w:rsidR="00442DA7" w:rsidRPr="00442DA7" w:rsidRDefault="00442DA7" w:rsidP="00442DA7">
      <w:r w:rsidRPr="00442DA7">
        <w:rPr>
          <w:b/>
          <w:bCs/>
        </w:rPr>
        <w:t>Misura dell’importo</w:t>
      </w:r>
    </w:p>
    <w:p w14:paraId="03ACC124" w14:textId="77777777" w:rsidR="00442DA7" w:rsidRPr="00442DA7" w:rsidRDefault="00442DA7" w:rsidP="007A2F15">
      <w:pPr>
        <w:jc w:val="both"/>
      </w:pPr>
      <w:r w:rsidRPr="00442DA7">
        <w:t xml:space="preserve">Il contributo consiste in un importo economico per nucleo familiare pari a </w:t>
      </w:r>
      <w:r w:rsidRPr="007A2F15">
        <w:rPr>
          <w:b/>
          <w:bCs/>
        </w:rPr>
        <w:t>500,00 euro</w:t>
      </w:r>
      <w:r w:rsidRPr="00442DA7">
        <w:t>, erogato attraverso carte elettroniche di pagamento, prepagate e ricaricabili, fornite da Poste Italiane S.p.A. tramite la società controllata Postepay. Il contributo è destinato all’acquisto di beni alimentari di prima necessità (indicati nell’allegato 1 del D.I.), con esclusione di bevande alcoliche, e di carburanti, oppure, in alternativa, di abbonamenti ai servizi di trasporto pubblico locale (cfr. l’art. 3 del D.I.). Tale contributo può essere speso presso gli esercizi commerciali che vendono generi alimentari e, per i carburanti, presso le imprese autorizzate alla vendita, individuate con apposita convenzione sottoscritta dalla competente Direzione generale del Ministero dell’Agricoltura, della sovranità alimentare e delle foreste (cfr. gli artt. 10 e 11 del D.I.).</w:t>
      </w:r>
    </w:p>
    <w:p w14:paraId="157A2CA4" w14:textId="77777777" w:rsidR="00442DA7" w:rsidRPr="00442DA7" w:rsidRDefault="00442DA7" w:rsidP="00442DA7">
      <w:r w:rsidRPr="00442DA7">
        <w:rPr>
          <w:b/>
          <w:bCs/>
        </w:rPr>
        <w:t>Modalità di comunicazione agli assegnatari</w:t>
      </w:r>
    </w:p>
    <w:p w14:paraId="0B0F49A7" w14:textId="77777777" w:rsidR="00442DA7" w:rsidRPr="00442DA7" w:rsidRDefault="00442DA7" w:rsidP="007A2F15">
      <w:pPr>
        <w:jc w:val="both"/>
      </w:pPr>
      <w:r w:rsidRPr="00442DA7">
        <w:t>NON SARÀ NECESSARIO INVIARE E-MAIL DI RICHIESTA, TELEFONARE O RECARSI PRESSO GLI SPORTELLI COMUNALI.</w:t>
      </w:r>
    </w:p>
    <w:p w14:paraId="64893660" w14:textId="20301BEC" w:rsidR="00442DA7" w:rsidRPr="00442DA7" w:rsidRDefault="00442DA7" w:rsidP="007A2F15">
      <w:pPr>
        <w:jc w:val="both"/>
      </w:pPr>
      <w:r w:rsidRPr="00442DA7">
        <w:t xml:space="preserve">Il Comune di </w:t>
      </w:r>
      <w:r w:rsidR="00287B1E">
        <w:t>San Cristoforo</w:t>
      </w:r>
      <w:r w:rsidRPr="00442DA7">
        <w:t xml:space="preserve"> comunicherà ai beneficiari le indicazioni per il ritiro della carta “Dedicata a te” a partire da settembre 2024 tramite lettera. Contestualmente, l’elenco dei beneficiari sarà pubblicato sul sito istituzionale del Comune.</w:t>
      </w:r>
    </w:p>
    <w:p w14:paraId="7EF7EF3E" w14:textId="17C7A12A" w:rsidR="00442DA7" w:rsidRPr="00442DA7" w:rsidRDefault="00442DA7" w:rsidP="007A2F15">
      <w:pPr>
        <w:jc w:val="both"/>
      </w:pPr>
      <w:r w:rsidRPr="00442DA7">
        <w:t>Gli assegnatari potranno ritirare la carta presso gli Uffici Postali da settembre 2024, presentando la lettera ricevuta dal Comune d</w:t>
      </w:r>
      <w:r w:rsidR="00287B1E">
        <w:t xml:space="preserve">i residenza </w:t>
      </w:r>
      <w:r w:rsidRPr="00442DA7">
        <w:t>e un documento di riconoscimento. Il primo pagamento dovrà essere effettuato entro il 16 dicembre 2024. L’intero importo della carta dovrà essere speso entro il 28 febbraio 2025.</w:t>
      </w:r>
    </w:p>
    <w:p w14:paraId="370697AE" w14:textId="77777777" w:rsidR="00E24709" w:rsidRDefault="00E24709" w:rsidP="00442DA7">
      <w:pPr>
        <w:rPr>
          <w:b/>
          <w:bCs/>
        </w:rPr>
      </w:pPr>
    </w:p>
    <w:sectPr w:rsidR="00E24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12EA5"/>
    <w:multiLevelType w:val="multilevel"/>
    <w:tmpl w:val="5D28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06399"/>
    <w:multiLevelType w:val="multilevel"/>
    <w:tmpl w:val="777C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6541968">
    <w:abstractNumId w:val="1"/>
  </w:num>
  <w:num w:numId="2" w16cid:durableId="29598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A7"/>
    <w:rsid w:val="00116D5E"/>
    <w:rsid w:val="00287B1E"/>
    <w:rsid w:val="00442DA7"/>
    <w:rsid w:val="007A2F15"/>
    <w:rsid w:val="007A48C1"/>
    <w:rsid w:val="007A7C8A"/>
    <w:rsid w:val="00977EF1"/>
    <w:rsid w:val="00C5685C"/>
    <w:rsid w:val="00D20B74"/>
    <w:rsid w:val="00DE6681"/>
    <w:rsid w:val="00E24709"/>
    <w:rsid w:val="00EE58C9"/>
    <w:rsid w:val="00F416E2"/>
    <w:rsid w:val="00FB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63EF"/>
  <w15:chartTrackingRefBased/>
  <w15:docId w15:val="{80F2420E-3310-4F56-AFAE-F03B6562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2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2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2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2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2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2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2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2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2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2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2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2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2DA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2DA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2D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2D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2D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2D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2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2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2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2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2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2D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2DA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2DA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2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2DA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2DA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42DA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2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2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2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5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4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7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6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1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6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Comune San Cristoforo</cp:lastModifiedBy>
  <cp:revision>2</cp:revision>
  <cp:lastPrinted>2024-08-08T09:01:00Z</cp:lastPrinted>
  <dcterms:created xsi:type="dcterms:W3CDTF">2024-08-08T09:01:00Z</dcterms:created>
  <dcterms:modified xsi:type="dcterms:W3CDTF">2024-08-08T09:01:00Z</dcterms:modified>
</cp:coreProperties>
</file>